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4D" w:rsidRDefault="00387F9D">
      <w:pPr>
        <w:snapToGrid w:val="0"/>
        <w:jc w:val="center"/>
        <w:rPr>
          <w:rFonts w:ascii="바탕" w:eastAsia="바탕" w:hAnsi="바탕"/>
          <w:b/>
          <w:sz w:val="28"/>
        </w:rPr>
      </w:pPr>
      <w:bookmarkStart w:id="0" w:name="_top"/>
      <w:bookmarkEnd w:id="0"/>
      <w:r>
        <w:rPr>
          <w:rFonts w:ascii="바탕" w:eastAsia="바탕" w:hAnsi="바탕"/>
          <w:b/>
          <w:sz w:val="28"/>
        </w:rPr>
        <w:t>한글제목(바탕14폰트)</w:t>
      </w:r>
    </w:p>
    <w:p w:rsidR="0065114D" w:rsidRDefault="00387F9D">
      <w:pPr>
        <w:snapToGrid w:val="0"/>
        <w:jc w:val="center"/>
        <w:rPr>
          <w:rFonts w:ascii="바탕" w:eastAsia="바탕" w:hAnsi="바탕"/>
          <w:sz w:val="28"/>
        </w:rPr>
      </w:pPr>
      <w:r>
        <w:rPr>
          <w:sz w:val="28"/>
        </w:rPr>
        <w:t>T</w:t>
      </w:r>
      <w:r>
        <w:rPr>
          <w:rFonts w:ascii="바탕" w:hAnsi="바탕"/>
          <w:sz w:val="28"/>
        </w:rPr>
        <w:t>itle in English</w:t>
      </w:r>
    </w:p>
    <w:p w:rsidR="0065114D" w:rsidRDefault="0065114D">
      <w:pPr>
        <w:snapToGrid w:val="0"/>
        <w:jc w:val="center"/>
        <w:rPr>
          <w:rFonts w:ascii="바탕" w:eastAsia="바탕" w:hAnsi="바탕"/>
          <w:sz w:val="20"/>
        </w:rPr>
      </w:pPr>
    </w:p>
    <w:p w:rsidR="0065114D" w:rsidRDefault="00387F9D">
      <w:pPr>
        <w:jc w:val="center"/>
        <w:rPr>
          <w:rFonts w:ascii="바탕" w:eastAsia="바탕" w:hAnsi="바탕"/>
          <w:sz w:val="20"/>
          <w:vertAlign w:val="superscript"/>
        </w:rPr>
      </w:pPr>
      <w:r>
        <w:rPr>
          <w:rFonts w:eastAsia="바탕"/>
          <w:sz w:val="20"/>
          <w:u w:val="single"/>
        </w:rPr>
        <w:t>발표자</w:t>
      </w:r>
      <w:r>
        <w:rPr>
          <w:rFonts w:ascii="바탕" w:hAnsi="바탕"/>
          <w:sz w:val="20"/>
          <w:vertAlign w:val="superscript"/>
        </w:rPr>
        <w:t>1</w:t>
      </w:r>
      <w:r>
        <w:rPr>
          <w:rFonts w:ascii="바탕" w:eastAsia="바탕" w:hAnsi="바탕"/>
          <w:sz w:val="20"/>
        </w:rPr>
        <w:t>, 저자</w:t>
      </w:r>
      <w:r>
        <w:rPr>
          <w:rFonts w:ascii="바탕" w:hAnsi="바탕"/>
          <w:sz w:val="20"/>
          <w:vertAlign w:val="superscript"/>
        </w:rPr>
        <w:t>2</w:t>
      </w:r>
      <w:r>
        <w:rPr>
          <w:rFonts w:ascii="바탕" w:eastAsia="바탕" w:hAnsi="바탕"/>
          <w:sz w:val="20"/>
        </w:rPr>
        <w:t>, 저자</w:t>
      </w:r>
      <w:r>
        <w:rPr>
          <w:rFonts w:ascii="바탕" w:hAnsi="바탕"/>
          <w:sz w:val="20"/>
          <w:vertAlign w:val="superscript"/>
        </w:rPr>
        <w:t>1*</w:t>
      </w:r>
    </w:p>
    <w:p w:rsidR="0065114D" w:rsidRPr="00674EC2" w:rsidRDefault="00387F9D">
      <w:pPr>
        <w:jc w:val="center"/>
        <w:rPr>
          <w:rFonts w:ascii="바탕" w:eastAsia="바탕" w:hAnsi="바탕"/>
          <w:sz w:val="20"/>
        </w:rPr>
      </w:pPr>
      <w:r>
        <w:rPr>
          <w:rFonts w:ascii="바탕" w:hAnsi="바탕"/>
          <w:sz w:val="20"/>
          <w:vertAlign w:val="superscript"/>
        </w:rPr>
        <w:t xml:space="preserve">1 </w:t>
      </w:r>
      <w:r w:rsidRPr="00674EC2">
        <w:rPr>
          <w:rFonts w:ascii="바탕" w:eastAsia="바탕" w:hAnsi="바탕"/>
          <w:sz w:val="20"/>
        </w:rPr>
        <w:t>한국대학교 자연과학대학 물리학과</w:t>
      </w:r>
    </w:p>
    <w:p w:rsidR="0065114D" w:rsidRPr="00674EC2" w:rsidRDefault="00387F9D">
      <w:pPr>
        <w:jc w:val="center"/>
        <w:rPr>
          <w:rFonts w:ascii="바탕" w:eastAsia="바탕" w:hAnsi="바탕"/>
          <w:sz w:val="20"/>
        </w:rPr>
      </w:pPr>
      <w:r w:rsidRPr="00674EC2">
        <w:rPr>
          <w:rFonts w:ascii="바탕" w:eastAsia="바탕" w:hAnsi="바탕"/>
          <w:sz w:val="20"/>
          <w:vertAlign w:val="superscript"/>
        </w:rPr>
        <w:t>2</w:t>
      </w:r>
      <w:r w:rsidRPr="00674EC2">
        <w:rPr>
          <w:rFonts w:ascii="바탕" w:eastAsia="바탕" w:hAnsi="바탕"/>
          <w:sz w:val="20"/>
        </w:rPr>
        <w:t xml:space="preserve"> 한국대학교 공과대학 재료공학과</w:t>
      </w:r>
    </w:p>
    <w:p w:rsidR="0065114D" w:rsidRPr="00674EC2" w:rsidRDefault="00387F9D">
      <w:pPr>
        <w:jc w:val="center"/>
        <w:rPr>
          <w:rFonts w:ascii="바탕" w:eastAsia="바탕" w:hAnsi="바탕"/>
          <w:sz w:val="20"/>
        </w:rPr>
      </w:pPr>
      <w:r w:rsidRPr="00674EC2">
        <w:rPr>
          <w:rFonts w:ascii="바탕" w:eastAsia="바탕" w:hAnsi="바탕"/>
          <w:sz w:val="20"/>
          <w:vertAlign w:val="superscript"/>
        </w:rPr>
        <w:t>*</w:t>
      </w:r>
      <w:r w:rsidRPr="00674EC2">
        <w:rPr>
          <w:rFonts w:ascii="바탕" w:eastAsia="바탕" w:hAnsi="바탕"/>
          <w:sz w:val="20"/>
        </w:rPr>
        <w:t>교신저자 Tel: 43</w:t>
      </w:r>
      <w:r w:rsidRPr="00674EC2">
        <w:rPr>
          <w:rFonts w:eastAsia="바탕" w:cs="Times New Roman"/>
          <w:sz w:val="20"/>
        </w:rPr>
        <w:t>‐</w:t>
      </w:r>
      <w:r w:rsidRPr="00674EC2">
        <w:rPr>
          <w:rFonts w:ascii="바탕" w:eastAsia="바탕" w:hAnsi="바탕"/>
          <w:sz w:val="20"/>
        </w:rPr>
        <w:t>510</w:t>
      </w:r>
      <w:r w:rsidRPr="00674EC2">
        <w:rPr>
          <w:rFonts w:eastAsia="바탕" w:cs="Times New Roman"/>
          <w:sz w:val="20"/>
        </w:rPr>
        <w:t>‐</w:t>
      </w:r>
      <w:r w:rsidRPr="00674EC2">
        <w:rPr>
          <w:rFonts w:ascii="바탕" w:eastAsia="바탕" w:hAnsi="바탕"/>
          <w:sz w:val="20"/>
        </w:rPr>
        <w:t>2221, Fax: 43</w:t>
      </w:r>
      <w:r w:rsidRPr="00674EC2">
        <w:rPr>
          <w:rFonts w:eastAsia="바탕" w:cs="Times New Roman"/>
          <w:sz w:val="20"/>
        </w:rPr>
        <w:t>‐</w:t>
      </w:r>
      <w:r w:rsidRPr="00674EC2">
        <w:rPr>
          <w:rFonts w:ascii="바탕" w:eastAsia="바탕" w:hAnsi="바탕"/>
          <w:sz w:val="20"/>
        </w:rPr>
        <w:t>513</w:t>
      </w:r>
      <w:r w:rsidRPr="00674EC2">
        <w:rPr>
          <w:rFonts w:eastAsia="바탕" w:cs="Times New Roman"/>
          <w:sz w:val="20"/>
        </w:rPr>
        <w:t>‐</w:t>
      </w:r>
      <w:r w:rsidRPr="00674EC2">
        <w:rPr>
          <w:rFonts w:ascii="바탕" w:eastAsia="바탕" w:hAnsi="바탕"/>
          <w:sz w:val="20"/>
        </w:rPr>
        <w:t>7664, E</w:t>
      </w:r>
      <w:r w:rsidRPr="00674EC2">
        <w:rPr>
          <w:rFonts w:eastAsia="바탕" w:cs="Times New Roman"/>
          <w:sz w:val="20"/>
        </w:rPr>
        <w:t>‐</w:t>
      </w:r>
      <w:r w:rsidRPr="00674EC2">
        <w:rPr>
          <w:rFonts w:ascii="바탕" w:eastAsia="바탕" w:hAnsi="바탕"/>
          <w:sz w:val="20"/>
        </w:rPr>
        <w:t xml:space="preserve">mail: </w:t>
      </w:r>
      <w:hyperlink r:id="rId6" w:history="1">
        <w:r w:rsidRPr="00674EC2">
          <w:rPr>
            <w:rFonts w:ascii="바탕" w:eastAsia="바탕" w:hAnsi="바탕"/>
            <w:color w:val="0000FF"/>
            <w:sz w:val="20"/>
            <w:u w:val="single" w:color="0000FF"/>
          </w:rPr>
          <w:t>email@korea.re.kr</w:t>
        </w:r>
      </w:hyperlink>
    </w:p>
    <w:p w:rsidR="0065114D" w:rsidRPr="00674EC2" w:rsidRDefault="00387F9D">
      <w:pPr>
        <w:rPr>
          <w:rFonts w:ascii="바탕" w:eastAsia="바탕" w:hAnsi="바탕"/>
          <w:sz w:val="20"/>
        </w:rPr>
      </w:pPr>
      <w:r w:rsidRPr="00674EC2">
        <w:rPr>
          <w:rFonts w:ascii="바탕" w:eastAsia="바탕" w:hAnsi="바탕"/>
          <w:b/>
          <w:sz w:val="20"/>
        </w:rPr>
        <w:t xml:space="preserve">         Key words</w:t>
      </w:r>
      <w:r w:rsidRPr="00674EC2">
        <w:rPr>
          <w:rFonts w:ascii="바탕" w:eastAsia="바탕" w:hAnsi="바탕"/>
          <w:sz w:val="20"/>
        </w:rPr>
        <w:t xml:space="preserve">: therma1 property, diffusivity, therma1 property, </w:t>
      </w:r>
    </w:p>
    <w:p w:rsidR="00AD3C11" w:rsidRDefault="00AD3C11">
      <w:pPr>
        <w:rPr>
          <w:rFonts w:ascii="바탕" w:hAnsi="바탕"/>
          <w:sz w:val="20"/>
        </w:rPr>
      </w:pPr>
    </w:p>
    <w:p w:rsidR="00AD3C11" w:rsidRDefault="00AD3C11">
      <w:pPr>
        <w:rPr>
          <w:rFonts w:ascii="바탕" w:eastAsia="바탕" w:hAnsi="바탕"/>
          <w:sz w:val="20"/>
        </w:rPr>
        <w:sectPr w:rsidR="00AD3C11">
          <w:endnotePr>
            <w:numFmt w:val="decimal"/>
          </w:endnotePr>
          <w:pgSz w:w="11906" w:h="16838"/>
          <w:pgMar w:top="1247" w:right="1701" w:bottom="822" w:left="1701" w:header="113" w:footer="113" w:gutter="0"/>
          <w:cols w:space="425"/>
          <w:docGrid w:type="lines" w:linePitch="360"/>
        </w:sectPr>
      </w:pPr>
    </w:p>
    <w:p w:rsidR="0065114D" w:rsidRPr="00674EC2" w:rsidRDefault="00387F9D">
      <w:pPr>
        <w:spacing w:line="240" w:lineRule="auto"/>
        <w:rPr>
          <w:rFonts w:ascii="바탕" w:eastAsia="바탕" w:hAnsi="바탕"/>
          <w:sz w:val="22"/>
        </w:rPr>
      </w:pPr>
      <w:r w:rsidRPr="00674EC2">
        <w:rPr>
          <w:rFonts w:ascii="바탕" w:eastAsia="바탕" w:hAnsi="바탕"/>
          <w:sz w:val="22"/>
        </w:rPr>
        <w:t>나노결정 양자점을 고분자를 이용하여 3차원 구조의 그물망처럼 역을 경우 단 양자점간 전자의 coupling이 일어날 만큼 작은 거리를 제어하여 규칙적인 구조를 만들 경우 고체격자의 경우 에너지 밴드가 형성되는 것과 유사한 원리로 mini</w:t>
      </w:r>
      <w:r w:rsidRPr="00674EC2">
        <w:rPr>
          <w:rFonts w:eastAsia="바탕" w:cs="Times New Roman"/>
          <w:sz w:val="22"/>
        </w:rPr>
        <w:t>‐</w:t>
      </w:r>
      <w:r w:rsidRPr="00674EC2">
        <w:rPr>
          <w:rFonts w:ascii="바탕" w:eastAsia="바탕" w:hAnsi="바탕"/>
          <w:sz w:val="22"/>
        </w:rPr>
        <w:t>band를 형성시킬 수 있다. 이를 통해 빛에 의해 들든 여기 전자들의 완화시간을 연장시킬수있다. 즉 광학적으로 활성화된 들뜬 전자들의 에너지를 활용하는 효율을 증대시켜 태양전지에 유도되는 전압을 증가시킬수 있는 원리이다 [1]. 또한 들뜬 전자들의 에너지가 클 경우 impact ionization 효과에 의해 태양전지에 유도되는 전류를 증가시킬 수 있다. 또한 shell 구조의 보호의 의해 quantum efficiency를 증가시킬수 있고 태양광의 다른 해로운 효과로부터 보호될 수 있다. 나노결정 양자점을 고분자를 이용하여 3차원 구조의 그물망처럼 역을 경우 단 양자점간 전자의 coupling이 일어날 만큼 작은 거리를 제어하여 규칙적인 구조를 만들 경우 고체격자의 경우 에너지 밴드가 형성되는 것과 유사한 원리로 mini</w:t>
      </w:r>
      <w:r w:rsidRPr="00674EC2">
        <w:rPr>
          <w:rFonts w:eastAsia="바탕" w:cs="Times New Roman"/>
          <w:sz w:val="22"/>
        </w:rPr>
        <w:t>‐</w:t>
      </w:r>
      <w:r w:rsidRPr="00674EC2">
        <w:rPr>
          <w:rFonts w:ascii="바탕" w:eastAsia="바탕" w:hAnsi="바탕"/>
          <w:sz w:val="22"/>
        </w:rPr>
        <w:t>band를 형성시킬 수 있다. 이를 통해 빛에 의해 들튼 여기 전자들의 완화시간</w:t>
      </w:r>
      <w:bookmarkStart w:id="1" w:name="_GoBack"/>
      <w:bookmarkEnd w:id="1"/>
      <w:r w:rsidRPr="00674EC2">
        <w:rPr>
          <w:rFonts w:ascii="바탕" w:eastAsia="바탕" w:hAnsi="바탕"/>
          <w:sz w:val="22"/>
        </w:rPr>
        <w:t>을 연장시킬수있다. 즉 광학적으로 활성화된 들뜬 전자들의 에너지를 활용하는 효율을 증대시켜 태양전지에 유도되는 전압을 증가시킬수 있는 원리이다 [2]. 나노결정 양자점을 고분자를 이용하여 3차원 구조의 그물망처럼 역을 경우 단 양자점간 전자의 coupling이 일어날 만하다.</w:t>
      </w:r>
    </w:p>
    <w:p w:rsidR="00AD3C11" w:rsidRDefault="00AD3C11">
      <w:pPr>
        <w:spacing w:line="240" w:lineRule="auto"/>
        <w:rPr>
          <w:rFonts w:ascii="바탕" w:eastAsia="바탕" w:hAnsi="바탕"/>
          <w:sz w:val="22"/>
        </w:rPr>
      </w:pPr>
    </w:p>
    <w:p w:rsidR="00AD3C11" w:rsidRDefault="00AD3C11">
      <w:pPr>
        <w:spacing w:line="240" w:lineRule="auto"/>
        <w:rPr>
          <w:rFonts w:ascii="바탕" w:eastAsia="바탕" w:hAnsi="바탕"/>
          <w:sz w:val="22"/>
        </w:rPr>
        <w:sectPr w:rsidR="00AD3C11">
          <w:endnotePr>
            <w:numFmt w:val="decimal"/>
          </w:endnotePr>
          <w:type w:val="continuous"/>
          <w:pgSz w:w="11906" w:h="16838"/>
          <w:pgMar w:top="1247" w:right="1701" w:bottom="822" w:left="1701" w:header="113" w:footer="113" w:gutter="0"/>
          <w:cols w:space="720" w:equalWidth="0">
            <w:col w:w="8504"/>
          </w:cols>
          <w:docGrid w:type="lines" w:linePitch="360"/>
        </w:sectPr>
      </w:pPr>
    </w:p>
    <w:p w:rsidR="0065114D" w:rsidRPr="00AD3C11" w:rsidRDefault="00387F9D" w:rsidP="00AD3C11">
      <w:pPr>
        <w:spacing w:line="240" w:lineRule="auto"/>
        <w:jc w:val="left"/>
      </w:pPr>
      <w:r>
        <w:rPr>
          <w:noProof/>
        </w:rPr>
        <w:drawing>
          <wp:inline distT="0" distB="0" distL="115189" distR="115189">
            <wp:extent cx="1820173" cy="1587260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-pc\AppData\Local\Temp\Hnc\BinData\EMB00001e2c3b5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2179" cy="15977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65114D" w:rsidRPr="00674EC2" w:rsidRDefault="00387F9D">
      <w:pPr>
        <w:spacing w:line="240" w:lineRule="auto"/>
        <w:jc w:val="left"/>
        <w:rPr>
          <w:rFonts w:ascii="바탕" w:eastAsia="바탕" w:hAnsi="바탕"/>
        </w:rPr>
      </w:pPr>
      <w:r>
        <w:rPr>
          <w:rFonts w:ascii="바탕" w:hAnsi="바탕"/>
        </w:rPr>
        <w:t xml:space="preserve"> </w:t>
      </w:r>
      <w:r w:rsidRPr="00674EC2">
        <w:rPr>
          <w:rFonts w:ascii="바탕" w:eastAsia="바탕" w:hAnsi="바탕"/>
        </w:rPr>
        <w:t xml:space="preserve">Table 1. Distribution of particle size </w:t>
      </w:r>
    </w:p>
    <w:tbl>
      <w:tblPr>
        <w:tblOverlap w:val="never"/>
        <w:tblW w:w="3960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34"/>
      </w:tblGrid>
      <w:tr w:rsidR="0065114D">
        <w:trPr>
          <w:trHeight w:val="20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pStyle w:val="a4"/>
              <w:wordWrap/>
              <w:snapToGrid w:val="0"/>
              <w:ind w:firstLine="200"/>
              <w:jc w:val="center"/>
              <w:rPr>
                <w:sz w:val="20"/>
              </w:rPr>
            </w:pPr>
            <w:r>
              <w:rPr>
                <w:sz w:val="20"/>
              </w:rPr>
              <w:t>YSZ  (nm)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rPr>
                <w:sz w:val="20"/>
              </w:rPr>
            </w:pPr>
            <w:r>
              <w:rPr>
                <w:sz w:val="20"/>
              </w:rPr>
              <w:t>MMMMM</w:t>
            </w:r>
          </w:p>
        </w:tc>
      </w:tr>
      <w:tr w:rsidR="0065114D">
        <w:trPr>
          <w:trHeight w:val="20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pStyle w:val="a4"/>
              <w:wordWrap/>
              <w:snapToGrid w:val="0"/>
              <w:ind w:firstLine="2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rPr>
                <w:sz w:val="20"/>
              </w:rPr>
            </w:pPr>
            <w:r>
              <w:t>0.7~1.7</w:t>
            </w:r>
          </w:p>
        </w:tc>
      </w:tr>
      <w:tr w:rsidR="0065114D">
        <w:trPr>
          <w:trHeight w:val="20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pStyle w:val="a4"/>
              <w:wordWrap/>
              <w:snapToGrid w:val="0"/>
              <w:ind w:firstLine="2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rPr>
                <w:sz w:val="20"/>
              </w:rPr>
            </w:pPr>
            <w:r>
              <w:t>1.8</w:t>
            </w:r>
          </w:p>
        </w:tc>
      </w:tr>
      <w:tr w:rsidR="0065114D">
        <w:trPr>
          <w:trHeight w:val="20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pStyle w:val="a4"/>
              <w:wordWrap/>
              <w:snapToGrid w:val="0"/>
              <w:ind w:firstLine="2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114D" w:rsidRDefault="00387F9D">
            <w:pPr>
              <w:pStyle w:val="a3"/>
              <w:wordWrap/>
              <w:spacing w:line="288" w:lineRule="auto"/>
              <w:jc w:val="center"/>
              <w:rPr>
                <w:rFonts w:ascii="Times New Roman" w:eastAsia="바탕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1.9</w:t>
            </w:r>
          </w:p>
        </w:tc>
      </w:tr>
    </w:tbl>
    <w:p w:rsidR="0065114D" w:rsidRDefault="0065114D">
      <w:pPr>
        <w:spacing w:line="240" w:lineRule="auto"/>
        <w:jc w:val="left"/>
        <w:rPr>
          <w:rFonts w:ascii="바탕" w:eastAsia="바탕" w:hAnsi="바탕"/>
        </w:rPr>
        <w:sectPr w:rsidR="0065114D">
          <w:endnotePr>
            <w:numFmt w:val="decimal"/>
          </w:endnotePr>
          <w:type w:val="continuous"/>
          <w:pgSz w:w="11906" w:h="16838"/>
          <w:pgMar w:top="1247" w:right="1701" w:bottom="822" w:left="1701" w:header="113" w:footer="113" w:gutter="0"/>
          <w:cols w:num="2" w:space="454"/>
          <w:docGrid w:type="lines" w:linePitch="360"/>
        </w:sectPr>
      </w:pPr>
    </w:p>
    <w:p w:rsidR="00AD3C11" w:rsidRDefault="00AD3C11">
      <w:pPr>
        <w:spacing w:line="240" w:lineRule="auto"/>
        <w:rPr>
          <w:rFonts w:ascii="바탕" w:hAnsi="바탕"/>
        </w:rPr>
      </w:pPr>
    </w:p>
    <w:p w:rsidR="0065114D" w:rsidRDefault="00387F9D">
      <w:pPr>
        <w:spacing w:line="240" w:lineRule="auto"/>
        <w:rPr>
          <w:rFonts w:ascii="바탕" w:hAnsi="바탕"/>
        </w:rPr>
      </w:pPr>
      <w:r>
        <w:rPr>
          <w:rFonts w:ascii="바탕" w:hAnsi="바탕"/>
        </w:rPr>
        <w:t xml:space="preserve">Fig. 1 Thermal conductivity of samp </w:t>
      </w:r>
    </w:p>
    <w:p w:rsidR="00AD3C11" w:rsidRDefault="00AD3C11">
      <w:pPr>
        <w:spacing w:line="240" w:lineRule="auto"/>
        <w:rPr>
          <w:rFonts w:ascii="바탕" w:hAnsi="바탕"/>
        </w:rPr>
      </w:pPr>
    </w:p>
    <w:p w:rsidR="00AD3C11" w:rsidRDefault="00AD3C11">
      <w:pPr>
        <w:spacing w:line="240" w:lineRule="auto"/>
        <w:rPr>
          <w:rFonts w:ascii="바탕" w:eastAsia="바탕" w:hAnsi="바탕"/>
        </w:rPr>
        <w:sectPr w:rsidR="00AD3C11">
          <w:endnotePr>
            <w:numFmt w:val="decimal"/>
          </w:endnotePr>
          <w:type w:val="continuous"/>
          <w:pgSz w:w="11906" w:h="16838"/>
          <w:pgMar w:top="1247" w:right="1701" w:bottom="822" w:left="1701" w:header="113" w:footer="113" w:gutter="0"/>
          <w:cols w:space="720" w:equalWidth="0">
            <w:col w:w="8504"/>
          </w:cols>
          <w:docGrid w:type="lines" w:linePitch="360"/>
        </w:sectPr>
      </w:pPr>
    </w:p>
    <w:p w:rsidR="0065114D" w:rsidRDefault="00387F9D">
      <w:pPr>
        <w:rPr>
          <w:rFonts w:ascii="바탕" w:eastAsia="바탕" w:hAnsi="바탕"/>
          <w:b/>
          <w:sz w:val="20"/>
        </w:rPr>
      </w:pPr>
      <w:r>
        <w:rPr>
          <w:rFonts w:eastAsia="바탕"/>
          <w:b/>
          <w:sz w:val="20"/>
        </w:rPr>
        <w:t>참고문헌</w:t>
      </w:r>
    </w:p>
    <w:p w:rsidR="0065114D" w:rsidRDefault="00387F9D">
      <w:pPr>
        <w:wordWrap/>
        <w:jc w:val="left"/>
        <w:rPr>
          <w:rFonts w:ascii="바탕" w:eastAsia="바탕" w:hAnsi="바탕"/>
          <w:sz w:val="20"/>
        </w:rPr>
      </w:pPr>
      <w:r>
        <w:rPr>
          <w:rFonts w:ascii="바탕" w:hAnsi="바탕"/>
        </w:rPr>
        <w:t xml:space="preserve">[1] </w:t>
      </w:r>
      <w:r>
        <w:rPr>
          <w:rFonts w:ascii="바탕" w:hAnsi="바탕"/>
          <w:sz w:val="20"/>
        </w:rPr>
        <w:t>H</w:t>
      </w:r>
      <w:r>
        <w:rPr>
          <w:rFonts w:ascii="한컴바탕" w:hAnsi="한컴바탕"/>
          <w:sz w:val="20"/>
        </w:rPr>
        <w:t>‐</w:t>
      </w:r>
      <w:r>
        <w:rPr>
          <w:rFonts w:ascii="바탕" w:hAnsi="바탕"/>
          <w:sz w:val="20"/>
        </w:rPr>
        <w:t>S Yang, G.</w:t>
      </w:r>
      <w:r>
        <w:rPr>
          <w:rFonts w:ascii="한컴바탕" w:hAnsi="한컴바탕"/>
          <w:sz w:val="20"/>
        </w:rPr>
        <w:t>‐</w:t>
      </w:r>
      <w:r>
        <w:rPr>
          <w:rFonts w:ascii="바탕" w:hAnsi="바탕"/>
          <w:sz w:val="20"/>
        </w:rPr>
        <w:t>R. Bai, L. J. Thompson, J. A. Eastman, Acta Materialia 50 (2002), 2309.</w:t>
      </w:r>
    </w:p>
    <w:p w:rsidR="0065114D" w:rsidRDefault="00387F9D">
      <w:pPr>
        <w:wordWrap/>
        <w:jc w:val="left"/>
        <w:rPr>
          <w:rFonts w:ascii="바탕" w:eastAsia="바탕" w:hAnsi="바탕"/>
          <w:sz w:val="20"/>
        </w:rPr>
      </w:pPr>
      <w:r>
        <w:rPr>
          <w:rFonts w:ascii="바탕" w:hAnsi="바탕"/>
          <w:sz w:val="20"/>
        </w:rPr>
        <w:t>[2] Swartz ET, Pohl RO., Rev Mod Phys 605 (1989), 61.</w:t>
      </w:r>
    </w:p>
    <w:sectPr w:rsidR="0065114D">
      <w:endnotePr>
        <w:numFmt w:val="decimal"/>
      </w:endnotePr>
      <w:type w:val="continuous"/>
      <w:pgSz w:w="11906" w:h="16838"/>
      <w:pgMar w:top="1247" w:right="1701" w:bottom="822" w:left="1701" w:header="113" w:footer="113" w:gutter="0"/>
      <w:cols w:space="720" w:equalWidth="0">
        <w:col w:w="850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6B" w:rsidRDefault="0034496B" w:rsidP="00AD3C11">
      <w:pPr>
        <w:spacing w:line="240" w:lineRule="auto"/>
      </w:pPr>
      <w:r>
        <w:separator/>
      </w:r>
    </w:p>
  </w:endnote>
  <w:endnote w:type="continuationSeparator" w:id="0">
    <w:p w:rsidR="0034496B" w:rsidRDefault="0034496B" w:rsidP="00AD3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6B" w:rsidRDefault="0034496B" w:rsidP="00AD3C11">
      <w:pPr>
        <w:spacing w:line="240" w:lineRule="auto"/>
      </w:pPr>
      <w:r>
        <w:separator/>
      </w:r>
    </w:p>
  </w:footnote>
  <w:footnote w:type="continuationSeparator" w:id="0">
    <w:p w:rsidR="0034496B" w:rsidRDefault="0034496B" w:rsidP="00AD3C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14D"/>
    <w:rsid w:val="0034496B"/>
    <w:rsid w:val="00387F9D"/>
    <w:rsid w:val="0065114D"/>
    <w:rsid w:val="00674EC2"/>
    <w:rsid w:val="00A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9F45A-FE2B-4312-A7A5-44D55B1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한컴바탕" w:hAnsi="Times New Roman"/>
      <w:color w:val="000000"/>
      <w:kern w:val="1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 w:hAnsi="한컴바탕"/>
      <w:color w:val="000000"/>
      <w:shd w:val="clear" w:color="000000" w:fill="FFFFFF"/>
    </w:rPr>
  </w:style>
  <w:style w:type="paragraph" w:customStyle="1" w:styleId="1">
    <w:name w:val="표준 표1"/>
    <w:uiPriority w:val="3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10">
    <w:name w:val="목록 없음1"/>
    <w:uiPriority w:val="4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</w:rPr>
  </w:style>
  <w:style w:type="paragraph" w:styleId="a4">
    <w:name w:val="Body Text"/>
    <w:uiPriority w:val="5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  <w:sz w:val="22"/>
    </w:rPr>
  </w:style>
  <w:style w:type="paragraph" w:styleId="2">
    <w:name w:val="Body Text 2"/>
    <w:uiPriority w:val="6"/>
    <w:pPr>
      <w:widowControl w:val="0"/>
      <w:wordWrap w:val="0"/>
      <w:autoSpaceDE w:val="0"/>
      <w:autoSpaceDN w:val="0"/>
      <w:spacing w:after="180" w:line="576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paragraph" w:styleId="a5">
    <w:name w:val="caption"/>
    <w:uiPriority w:val="7"/>
    <w:pPr>
      <w:widowControl w:val="0"/>
      <w:wordWrap w:val="0"/>
      <w:autoSpaceDE w:val="0"/>
      <w:autoSpaceDN w:val="0"/>
      <w:spacing w:before="120" w:after="240" w:line="288" w:lineRule="auto"/>
      <w:textAlignment w:val="baseline"/>
    </w:pPr>
    <w:rPr>
      <w:rFonts w:ascii="Times New Roman" w:eastAsia="바탕" w:hAnsi="Times New Roman"/>
      <w:b/>
      <w:color w:val="000000"/>
      <w:kern w:val="1"/>
    </w:rPr>
  </w:style>
  <w:style w:type="character" w:styleId="a6">
    <w:name w:val="Hyperlink"/>
    <w:uiPriority w:val="8"/>
    <w:rPr>
      <w:rFonts w:ascii="Times New Roman" w:eastAsia="바탕" w:hAnsi="Times New Roman"/>
      <w:color w:val="0000FF"/>
      <w:sz w:val="20"/>
      <w:u w:val="single"/>
    </w:rPr>
  </w:style>
  <w:style w:type="paragraph" w:styleId="a7">
    <w:name w:val="Normal (Web)"/>
    <w:uiPriority w:val="9"/>
    <w:pPr>
      <w:wordWrap w:val="0"/>
      <w:autoSpaceDE w:val="0"/>
      <w:autoSpaceDN w:val="0"/>
      <w:spacing w:after="0" w:line="288" w:lineRule="auto"/>
      <w:jc w:val="left"/>
      <w:textAlignment w:val="baseline"/>
    </w:pPr>
    <w:rPr>
      <w:rFonts w:ascii="굴림" w:eastAsia="굴림" w:hAnsi="굴림"/>
      <w:color w:val="000000"/>
      <w:sz w:val="24"/>
    </w:rPr>
  </w:style>
  <w:style w:type="paragraph" w:styleId="a8">
    <w:name w:val="header"/>
    <w:uiPriority w:val="10"/>
    <w:pPr>
      <w:widowControl w:val="0"/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customStyle="1" w:styleId="Char">
    <w:name w:val="머리글 Char"/>
    <w:uiPriority w:val="11"/>
    <w:rPr>
      <w:rFonts w:ascii="Times New Roman" w:eastAsia="한컴바탕" w:hAnsi="Times New Roman"/>
      <w:color w:val="000000"/>
      <w:kern w:val="1"/>
      <w:sz w:val="18"/>
    </w:rPr>
  </w:style>
  <w:style w:type="paragraph" w:styleId="a9">
    <w:name w:val="footer"/>
    <w:uiPriority w:val="12"/>
    <w:pPr>
      <w:widowControl w:val="0"/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customStyle="1" w:styleId="Char0">
    <w:name w:val="바닥글 Char"/>
    <w:uiPriority w:val="13"/>
    <w:rPr>
      <w:rFonts w:ascii="Times New Roman" w:eastAsia="한컴바탕" w:hAnsi="Times New Roman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korea.re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초록 작성 요령</dc:title>
  <cp:lastModifiedBy>spring</cp:lastModifiedBy>
  <cp:revision>3</cp:revision>
  <dcterms:created xsi:type="dcterms:W3CDTF">2008-02-20T04:23:00Z</dcterms:created>
  <dcterms:modified xsi:type="dcterms:W3CDTF">2024-03-13T07:43:00Z</dcterms:modified>
</cp:coreProperties>
</file>